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C3EB6" w:rsidRPr="00F72849" w:rsidRDefault="006C3EB6" w:rsidP="006C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06-2/299-18</w:t>
      </w:r>
    </w:p>
    <w:p w:rsidR="006C3EB6" w:rsidRPr="00F72849" w:rsidRDefault="0060301E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C3EB6" w:rsidRDefault="006C3EB6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6A1E" w:rsidRPr="00F72849" w:rsidRDefault="00246A1E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EB6" w:rsidRPr="00F72849" w:rsidRDefault="00B13548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33.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Savičić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Komnenić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A82C9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Banović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Razvojnoj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82C94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2C94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Višnja</w:t>
      </w:r>
      <w:r w:rsidR="00A82C94" w:rsidRPr="00A8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Šundić</w:t>
      </w:r>
      <w:r w:rsidR="002E1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2E1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E1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A82C94" w:rsidRPr="00A8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A82C94" w:rsidRPr="00A82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Olga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Miočinović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Renata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Pindžo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Dobrijević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načelnici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614A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B13548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3EB6" w:rsidRPr="00F7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C3EB6" w:rsidRPr="00F72849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849" w:rsidRPr="0080401F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budžetu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godinu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400-3601/18 </w:t>
      </w:r>
      <w:r>
        <w:rPr>
          <w:rFonts w:cs="Times New Roman"/>
          <w:sz w:val="24"/>
          <w:szCs w:val="24"/>
          <w:lang w:val="sr-Cyrl-RS"/>
        </w:rPr>
        <w:t>od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23.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 w:rsidRPr="002517EF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 w:rsidRPr="002517EF">
        <w:rPr>
          <w:rFonts w:cs="Times New Roman"/>
          <w:sz w:val="24"/>
          <w:szCs w:val="24"/>
          <w:lang w:val="sr-Cyrl-RS"/>
        </w:rPr>
        <w:t>);</w:t>
      </w:r>
    </w:p>
    <w:p w:rsidR="00F72849" w:rsidRPr="00BF1565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F7284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privrednim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društvima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023-3526/18 </w:t>
      </w:r>
      <w:r>
        <w:rPr>
          <w:rFonts w:cs="Times New Roman"/>
          <w:sz w:val="24"/>
          <w:szCs w:val="24"/>
          <w:lang w:val="sr-Cyrl-RS"/>
        </w:rPr>
        <w:t>od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19.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>
        <w:rPr>
          <w:rFonts w:cs="Times New Roman"/>
          <w:sz w:val="24"/>
          <w:szCs w:val="24"/>
          <w:lang w:val="sr-Cyrl-RS"/>
        </w:rPr>
        <w:t>)</w:t>
      </w:r>
      <w:r w:rsidR="00F72849"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80401F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F7284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stečaju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422-3447/</w:t>
      </w:r>
      <w:r w:rsidR="00F72849">
        <w:rPr>
          <w:rFonts w:cs="Times New Roman"/>
          <w:sz w:val="24"/>
          <w:szCs w:val="24"/>
          <w:lang w:val="sr-Cyrl-RS"/>
        </w:rPr>
        <w:t xml:space="preserve">18 </w:t>
      </w:r>
      <w:r>
        <w:rPr>
          <w:rFonts w:cs="Times New Roman"/>
          <w:sz w:val="24"/>
          <w:szCs w:val="24"/>
          <w:lang w:val="sr-Cyrl-RS"/>
        </w:rPr>
        <w:t>od</w:t>
      </w:r>
      <w:r w:rsidR="00F72849">
        <w:rPr>
          <w:rFonts w:cs="Times New Roman"/>
          <w:sz w:val="24"/>
          <w:szCs w:val="24"/>
          <w:lang w:val="sr-Cyrl-RS"/>
        </w:rPr>
        <w:t xml:space="preserve"> 9.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>
        <w:rPr>
          <w:rFonts w:cs="Times New Roman"/>
          <w:sz w:val="24"/>
          <w:szCs w:val="24"/>
          <w:lang w:val="sr-Cyrl-RS"/>
        </w:rPr>
        <w:t>)</w:t>
      </w:r>
      <w:r w:rsidR="00F72849"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BF1565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F7284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ulaganjima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011-3604/18 </w:t>
      </w:r>
      <w:r>
        <w:rPr>
          <w:rFonts w:cs="Times New Roman"/>
          <w:sz w:val="24"/>
          <w:szCs w:val="24"/>
          <w:lang w:val="sr-Cyrl-RS"/>
        </w:rPr>
        <w:t>od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23.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>
        <w:rPr>
          <w:rFonts w:cs="Times New Roman"/>
          <w:sz w:val="24"/>
          <w:szCs w:val="24"/>
          <w:lang w:val="sr-Cyrl-RS"/>
        </w:rPr>
        <w:t>)</w:t>
      </w:r>
      <w:r w:rsidR="00F72849"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BF1565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Razmatranje</w:t>
      </w:r>
      <w:r w:rsidR="00F7284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sticanju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svojine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zemljištu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objektima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vodovima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Rudarsko</w:t>
      </w:r>
      <w:r w:rsidR="00F72849" w:rsidRPr="00BF1565"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topioničarskog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basena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RTB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Bor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</w:t>
      </w:r>
      <w:r w:rsidR="00F72849" w:rsidRPr="00BF1565"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>.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Bor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011-3566/1</w:t>
      </w:r>
      <w:r w:rsidR="00F72849">
        <w:rPr>
          <w:rFonts w:cs="Times New Roman"/>
          <w:sz w:val="24"/>
          <w:szCs w:val="24"/>
          <w:lang w:val="sr-Cyrl-RS"/>
        </w:rPr>
        <w:t xml:space="preserve">8 </w:t>
      </w:r>
      <w:r>
        <w:rPr>
          <w:rFonts w:cs="Times New Roman"/>
          <w:sz w:val="24"/>
          <w:szCs w:val="24"/>
          <w:lang w:val="sr-Cyrl-RS"/>
        </w:rPr>
        <w:t>od</w:t>
      </w:r>
      <w:r w:rsidR="00F72849">
        <w:rPr>
          <w:rFonts w:cs="Times New Roman"/>
          <w:sz w:val="24"/>
          <w:szCs w:val="24"/>
          <w:lang w:val="sr-Cyrl-RS"/>
        </w:rPr>
        <w:t xml:space="preserve"> 21.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>
        <w:rPr>
          <w:rFonts w:cs="Times New Roman"/>
          <w:sz w:val="24"/>
          <w:szCs w:val="24"/>
          <w:lang w:val="sr-Cyrl-RS"/>
        </w:rPr>
        <w:t>)</w:t>
      </w:r>
      <w:r w:rsidR="00F72849"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2517EF" w:rsidRDefault="00B13548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F7284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utvrđivanju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javnog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interesa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posebnim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postupcima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eksproprijacije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pribavljanja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dokumentacije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realizacije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izgradnje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sistema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transport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prirodnog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gasa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„</w:t>
      </w:r>
      <w:r>
        <w:rPr>
          <w:rFonts w:cs="Times New Roman"/>
          <w:sz w:val="24"/>
          <w:szCs w:val="24"/>
          <w:lang w:val="sr-Cyrl-RS"/>
        </w:rPr>
        <w:t>Južni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tok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“, </w:t>
      </w:r>
      <w:r>
        <w:rPr>
          <w:rFonts w:cs="Times New Roman"/>
          <w:sz w:val="24"/>
          <w:szCs w:val="24"/>
          <w:lang w:val="sr-Cyrl-RS"/>
        </w:rPr>
        <w:t>koji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011-3616/18 </w:t>
      </w:r>
      <w:r>
        <w:rPr>
          <w:rFonts w:cs="Times New Roman"/>
          <w:sz w:val="24"/>
          <w:szCs w:val="24"/>
          <w:lang w:val="sr-Cyrl-RS"/>
        </w:rPr>
        <w:t>od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23. </w:t>
      </w:r>
      <w:r>
        <w:rPr>
          <w:rFonts w:cs="Times New Roman"/>
          <w:sz w:val="24"/>
          <w:szCs w:val="24"/>
          <w:lang w:val="sr-Cyrl-RS"/>
        </w:rPr>
        <w:t>novembra</w:t>
      </w:r>
      <w:r w:rsidR="00F72849" w:rsidRPr="00BF1565">
        <w:rPr>
          <w:rFonts w:cs="Times New Roman"/>
          <w:sz w:val="24"/>
          <w:szCs w:val="24"/>
          <w:lang w:val="sr-Cyrl-RS"/>
        </w:rPr>
        <w:t xml:space="preserve"> 2018. </w:t>
      </w:r>
      <w:r>
        <w:rPr>
          <w:rFonts w:cs="Times New Roman"/>
          <w:sz w:val="24"/>
          <w:szCs w:val="24"/>
          <w:lang w:val="sr-Cyrl-RS"/>
        </w:rPr>
        <w:t>godine</w:t>
      </w:r>
      <w:r w:rsidR="00F72849">
        <w:rPr>
          <w:rFonts w:cs="Times New Roman"/>
          <w:sz w:val="24"/>
          <w:szCs w:val="24"/>
          <w:lang w:val="sr-Cyrl-RS"/>
        </w:rPr>
        <w:t>);</w:t>
      </w:r>
    </w:p>
    <w:p w:rsidR="001B1460" w:rsidRPr="00A4642F" w:rsidRDefault="00B13548" w:rsidP="00F7284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F72849">
        <w:rPr>
          <w:rFonts w:cs="Times New Roman"/>
          <w:sz w:val="24"/>
          <w:szCs w:val="24"/>
        </w:rPr>
        <w:t>.</w:t>
      </w:r>
    </w:p>
    <w:p w:rsidR="00A4642F" w:rsidRPr="00F72849" w:rsidRDefault="00A4642F" w:rsidP="00A4642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1B1460" w:rsidRPr="00F72849" w:rsidRDefault="00051F75" w:rsidP="00051F7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8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</w:rPr>
        <w:t>31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</w:rPr>
        <w:t>32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642F" w:rsidRDefault="00B13548" w:rsidP="00D71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D717D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717D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717D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A4642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717D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8156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budžetu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E94DE7" w:rsidRDefault="00E94DE7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22E9" w:rsidRDefault="00D3006A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Savičić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CF2790">
        <w:rPr>
          <w:rFonts w:ascii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246,2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CF2790">
        <w:rPr>
          <w:rFonts w:ascii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269,1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</w:rPr>
        <w:t xml:space="preserve">22,9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0,4%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BDP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Projekcija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konzervativna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projektovan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3,5%.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Okosnicu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rasterećenja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napuštanje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tzv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kriznih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konsolidacije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</w:rPr>
        <w:t>M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866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949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977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297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9,9%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dinamici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povlačenja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izdvajanja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804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regionale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334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125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359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3%.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320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Resavica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51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obaveznih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rezervi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derivata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358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621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116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24,8%.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Najznačajnije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stavke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subvencije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270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Gondole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862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381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D53" w:rsidRDefault="00200D53" w:rsidP="004F4F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222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Mnistarstvo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trenutnim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stanjem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</w:rPr>
        <w:t>start up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D53" w:rsidRPr="00F72849" w:rsidRDefault="00200D53" w:rsidP="00200D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tražilo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ugroženog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Besplatni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kilovat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časovi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količine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zimskom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najugroženije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stanovnike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Kalkulacije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Svetskom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stavki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razdelu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obaveznih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rezervi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15.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skladištenje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energenata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D53" w:rsidRPr="00F72849" w:rsidRDefault="00200D53" w:rsidP="00200D5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Renata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Pindžo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621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618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72%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21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100 000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ostvariti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subvencionisani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odmor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dovođenje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800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izdvojena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investiciju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deviznog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priliva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12%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15%,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perspektivna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grana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A1E" w:rsidRDefault="00200D53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07693" w:rsidRPr="00F72849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najvažnija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reflektuje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segmente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obiman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kompleksan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temeljnu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odvoji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energetski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ugroženog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zamerka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aproprijacijama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73D9" w:rsidRDefault="00F927F4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širok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noseća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finansijki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odražavaju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standard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uložen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poštovana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opreznosti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ekonomičnosti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racionalnog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načelne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tromesečnih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pratititi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planiranih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642F" w:rsidRDefault="00FF6DC5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611F" w:rsidRDefault="003D611F" w:rsidP="003D611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173.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21–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11F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11F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276" w:rsidRDefault="00B13548" w:rsidP="006D12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6D127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D127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D127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22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22E9" w:rsidRPr="000222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6D127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6D1276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</w:p>
    <w:p w:rsidR="005F165D" w:rsidRDefault="005F165D" w:rsidP="005F165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6AC8" w:rsidRPr="00F72849" w:rsidRDefault="00066D19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3D61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D61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7F0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2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018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6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7F6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pozicije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,,Doing business list“,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AB2E3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/2019</w:t>
      </w:r>
      <w:r w:rsidR="00AB2E3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Programom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rejting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1E9F">
        <w:rPr>
          <w:rFonts w:ascii="Times New Roman" w:eastAsia="Times New Roman" w:hAnsi="Times New Roman" w:cs="Times New Roman"/>
          <w:sz w:val="24"/>
          <w:szCs w:val="24"/>
          <w:lang w:val="sr-Latn-RS"/>
        </w:rPr>
        <w:t>,,Doing business list“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Zajednička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Akionog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018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5018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junu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unaprediti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važeće</w:t>
      </w:r>
      <w:r w:rsidR="004D70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Eliminisanje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nužno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pojasni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precizira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važne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zastupnika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prokurista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ličnim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interesom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ranijem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zaposlenju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funkcijama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obavljali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nadzornih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akcionarskim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preduslova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efikasnijim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ugovara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direktnih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6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9E36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E36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65D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Podiže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ličnim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interesom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tužbu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poništaj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dobilo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odobrenje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zastupnik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prokurista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poništaja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bitne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elemente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presudu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poništiti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dosuditi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akcionara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F58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5F58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visoke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menadžerske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akcionarskom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zanimanja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F58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zaposlenje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DF140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akcionarskog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odobri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koncesiji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elementima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raspolaganja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izjašnjava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zaključuju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direktni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koncesije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tiču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njegovih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finansijera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izjašnjava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74E" w:rsidRDefault="00CC6AC8" w:rsidP="00F507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5074E" w:rsidRDefault="00F5074E" w:rsidP="00F5074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074E" w:rsidRDefault="00F5074E" w:rsidP="00F507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4AB" w:rsidRDefault="00B26C73" w:rsidP="00246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6C54A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6C54A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C54A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C54A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1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b/>
          <w:sz w:val="24"/>
          <w:szCs w:val="24"/>
          <w:lang w:val="sr-Cyrl-RS"/>
        </w:rPr>
        <w:t>stečaju</w:t>
      </w:r>
    </w:p>
    <w:p w:rsidR="00F5074E" w:rsidRPr="00F5074E" w:rsidRDefault="00F5074E" w:rsidP="00246A1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C45B0" w:rsidRPr="00F72849" w:rsidRDefault="007C45B0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5074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unapređenja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pozicije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Latn-RS"/>
        </w:rPr>
        <w:t>,,Doing business list“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transparentnosti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rezmene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poverioci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imenovanja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predujma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omogućavanje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poveriocima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visinu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5074E" w:rsidRDefault="00A4642F" w:rsidP="00F507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5074E" w:rsidRDefault="00F5074E" w:rsidP="00F5074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F6DC5" w:rsidRDefault="00FF6DC5" w:rsidP="00246A1E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1D8B" w:rsidRDefault="00B13548" w:rsidP="00246A1E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</w:t>
      </w:r>
      <w:r w:rsidR="00DF1D8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F1D8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F1D8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1D8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F1D8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ulaganjima</w:t>
      </w:r>
    </w:p>
    <w:p w:rsidR="00F5074E" w:rsidRDefault="00F5074E" w:rsidP="00246A1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B5C96" w:rsidRPr="00F72849" w:rsidRDefault="00F5074E" w:rsidP="00F5074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Razvojnoj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jasnog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efikasnog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institucionalnog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8CD">
        <w:rPr>
          <w:rFonts w:ascii="Times New Roman" w:hAnsi="Times New Roman" w:cs="Times New Roman"/>
          <w:sz w:val="24"/>
          <w:szCs w:val="24"/>
        </w:rPr>
        <w:t>Doing business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brisanje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odred</w:t>
      </w:r>
      <w:r w:rsidR="007168C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objašnjene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uvedene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sistemskim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upravnoj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inspekciji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tajne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stvori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jasniji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institucionalni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davalac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šemu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definisanim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kriterijumima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Izjednačavaju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ulagači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povlastica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doprineće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nezaposlenosti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46A1E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C71" w:rsidRDefault="00B13548" w:rsidP="007D0C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sticanju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svojine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zemljištu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objektima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vodovima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Rudarsko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topioničarskog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basena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RTB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</w:t>
      </w:r>
    </w:p>
    <w:p w:rsidR="00246A1E" w:rsidRPr="00246A1E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96968" w:rsidRDefault="00FC0929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Ugrčić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1ABB" w:rsidRP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stiče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izgrađenih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stricanja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svojstven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svrsi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Potpisan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strateškom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okončao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A1E" w:rsidRDefault="004311AF" w:rsidP="00246A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F6DC5" w:rsidRDefault="00FF6DC5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1AF" w:rsidRDefault="00B13548" w:rsidP="004311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 w:rsidR="004311AF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4311AF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4311AF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4311AF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FF6D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utvrđivanju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interesa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eksproprijacije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pribavljanja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dokumentacije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realizacije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izgradnje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sistema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transport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prirodnog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gasa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Južni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tok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FF6DC5" w:rsidRPr="00FF6DC5" w:rsidRDefault="00FF6DC5" w:rsidP="00FF6DC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35C8C" w:rsidRPr="00F72849" w:rsidRDefault="00435C8C" w:rsidP="003A6F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9E12D8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056CB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9A64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2014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56CB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zaustavljen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aktuelan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6CBA" w:rsidRP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56CB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aktivira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zvati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Magistralni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gasovod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eksproprijaciju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elementi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1C5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C61C5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C61C5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C61C5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Trećim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paketom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11F" w:rsidRDefault="004311AF" w:rsidP="003A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775A7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7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D77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7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ostavljeno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preuranjeno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eksproprijacija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trasi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gasovod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proći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11F" w:rsidRDefault="00C8266C" w:rsidP="00C8266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usklađene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strateškom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diversifikacije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Poznato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eksproprijaciju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preuranjeno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FC7" w:rsidRDefault="003A6FC7" w:rsidP="00C8266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učestvovale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DC5" w:rsidRDefault="004311AF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F6DC5" w:rsidRDefault="00FF6DC5" w:rsidP="00FF6D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F6DC5" w:rsidRDefault="004311AF" w:rsidP="00710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7143D6" w:rsidRPr="00F72849" w:rsidRDefault="00B13548" w:rsidP="007143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Sedma</w:t>
      </w:r>
      <w:r w:rsidR="007143D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7143D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7143D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143D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F72849" w:rsidRPr="00F72849" w:rsidRDefault="00974F78" w:rsidP="003A6FC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B6C" w:rsidRDefault="00F72849" w:rsidP="00F72849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3548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</w:rPr>
        <w:t>u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F6DC5" w:rsidRDefault="00FF6DC5" w:rsidP="00FF6DC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5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1B6C" w:rsidRPr="00F72849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1B6C" w:rsidRPr="00F72849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</w:rPr>
        <w:tab/>
      </w:r>
      <w:r w:rsidRPr="00F728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8F1B6C" w:rsidRPr="00F72849" w:rsidTr="003A6FC7">
        <w:tc>
          <w:tcPr>
            <w:tcW w:w="4788" w:type="dxa"/>
          </w:tcPr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B13548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F1B6C" w:rsidRPr="00F72849" w:rsidRDefault="00B13548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 w:rsidR="008F1B6C"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13548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6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5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135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B1354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7143D6" w:rsidRPr="00F72849" w:rsidRDefault="007143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43D6" w:rsidRPr="00F72849" w:rsidSect="000222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21" w:rsidRDefault="009F1B21" w:rsidP="000222E9">
      <w:pPr>
        <w:spacing w:after="0" w:line="240" w:lineRule="auto"/>
      </w:pPr>
      <w:r>
        <w:separator/>
      </w:r>
    </w:p>
  </w:endnote>
  <w:endnote w:type="continuationSeparator" w:id="0">
    <w:p w:rsidR="009F1B21" w:rsidRDefault="009F1B21" w:rsidP="000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21" w:rsidRDefault="009F1B21" w:rsidP="000222E9">
      <w:pPr>
        <w:spacing w:after="0" w:line="240" w:lineRule="auto"/>
      </w:pPr>
      <w:r>
        <w:separator/>
      </w:r>
    </w:p>
  </w:footnote>
  <w:footnote w:type="continuationSeparator" w:id="0">
    <w:p w:rsidR="009F1B21" w:rsidRDefault="009F1B21" w:rsidP="0002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FC7" w:rsidRDefault="003A6F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5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FC7" w:rsidRDefault="003A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6"/>
    <w:rsid w:val="000154C7"/>
    <w:rsid w:val="000222E9"/>
    <w:rsid w:val="00022AAE"/>
    <w:rsid w:val="00040FAA"/>
    <w:rsid w:val="000502F3"/>
    <w:rsid w:val="00051F75"/>
    <w:rsid w:val="00056A13"/>
    <w:rsid w:val="00056CBA"/>
    <w:rsid w:val="00062C94"/>
    <w:rsid w:val="00066D19"/>
    <w:rsid w:val="00097236"/>
    <w:rsid w:val="000A0A25"/>
    <w:rsid w:val="000A433A"/>
    <w:rsid w:val="000B5B56"/>
    <w:rsid w:val="000C2BC8"/>
    <w:rsid w:val="00105F86"/>
    <w:rsid w:val="00112E95"/>
    <w:rsid w:val="00116B73"/>
    <w:rsid w:val="00120C34"/>
    <w:rsid w:val="0012751B"/>
    <w:rsid w:val="00131C9B"/>
    <w:rsid w:val="0013246F"/>
    <w:rsid w:val="001473D9"/>
    <w:rsid w:val="00147F07"/>
    <w:rsid w:val="001770DD"/>
    <w:rsid w:val="00186F3B"/>
    <w:rsid w:val="00190B58"/>
    <w:rsid w:val="001A7A44"/>
    <w:rsid w:val="001B1460"/>
    <w:rsid w:val="001E24F6"/>
    <w:rsid w:val="00200D53"/>
    <w:rsid w:val="00226993"/>
    <w:rsid w:val="00246A1E"/>
    <w:rsid w:val="00260987"/>
    <w:rsid w:val="00281562"/>
    <w:rsid w:val="002D3DAE"/>
    <w:rsid w:val="002E1AA4"/>
    <w:rsid w:val="002F752B"/>
    <w:rsid w:val="003054A4"/>
    <w:rsid w:val="00323F72"/>
    <w:rsid w:val="003A0096"/>
    <w:rsid w:val="003A6FC7"/>
    <w:rsid w:val="003B1736"/>
    <w:rsid w:val="003B43A6"/>
    <w:rsid w:val="003C1944"/>
    <w:rsid w:val="003C2535"/>
    <w:rsid w:val="003D611F"/>
    <w:rsid w:val="003F2A34"/>
    <w:rsid w:val="003F413A"/>
    <w:rsid w:val="00406B92"/>
    <w:rsid w:val="00407693"/>
    <w:rsid w:val="004311AF"/>
    <w:rsid w:val="0043532E"/>
    <w:rsid w:val="00435C8C"/>
    <w:rsid w:val="0049738F"/>
    <w:rsid w:val="004D01D4"/>
    <w:rsid w:val="004D0849"/>
    <w:rsid w:val="004D20EB"/>
    <w:rsid w:val="004D70D8"/>
    <w:rsid w:val="004F3902"/>
    <w:rsid w:val="004F4F31"/>
    <w:rsid w:val="00515511"/>
    <w:rsid w:val="00524ACD"/>
    <w:rsid w:val="00541ABB"/>
    <w:rsid w:val="00550186"/>
    <w:rsid w:val="00571799"/>
    <w:rsid w:val="005934A1"/>
    <w:rsid w:val="005B2C01"/>
    <w:rsid w:val="005B5C96"/>
    <w:rsid w:val="005D22C4"/>
    <w:rsid w:val="005D5CD4"/>
    <w:rsid w:val="005F165D"/>
    <w:rsid w:val="005F5894"/>
    <w:rsid w:val="005F7BD7"/>
    <w:rsid w:val="0060301E"/>
    <w:rsid w:val="00604AAF"/>
    <w:rsid w:val="00612B3C"/>
    <w:rsid w:val="00614AE4"/>
    <w:rsid w:val="00620DF6"/>
    <w:rsid w:val="00621414"/>
    <w:rsid w:val="006216CF"/>
    <w:rsid w:val="006251B1"/>
    <w:rsid w:val="00636BDC"/>
    <w:rsid w:val="0065001E"/>
    <w:rsid w:val="0065554E"/>
    <w:rsid w:val="00690A16"/>
    <w:rsid w:val="00692AD3"/>
    <w:rsid w:val="006B7806"/>
    <w:rsid w:val="006C3EB6"/>
    <w:rsid w:val="006C54AB"/>
    <w:rsid w:val="006D1276"/>
    <w:rsid w:val="006E3F53"/>
    <w:rsid w:val="00705DB2"/>
    <w:rsid w:val="007109A3"/>
    <w:rsid w:val="007143D6"/>
    <w:rsid w:val="007168CD"/>
    <w:rsid w:val="00723085"/>
    <w:rsid w:val="007275F7"/>
    <w:rsid w:val="00762948"/>
    <w:rsid w:val="00763887"/>
    <w:rsid w:val="00763937"/>
    <w:rsid w:val="00777873"/>
    <w:rsid w:val="00781973"/>
    <w:rsid w:val="007A12B1"/>
    <w:rsid w:val="007A7120"/>
    <w:rsid w:val="007B08FB"/>
    <w:rsid w:val="007C3E03"/>
    <w:rsid w:val="007C45B0"/>
    <w:rsid w:val="007D0C71"/>
    <w:rsid w:val="007F6FEF"/>
    <w:rsid w:val="00805D29"/>
    <w:rsid w:val="008747BC"/>
    <w:rsid w:val="008765D5"/>
    <w:rsid w:val="0087755D"/>
    <w:rsid w:val="00887F89"/>
    <w:rsid w:val="008A0019"/>
    <w:rsid w:val="008F1B6C"/>
    <w:rsid w:val="00907ABB"/>
    <w:rsid w:val="00921879"/>
    <w:rsid w:val="00974F78"/>
    <w:rsid w:val="0098226D"/>
    <w:rsid w:val="009A64DA"/>
    <w:rsid w:val="009A6DDB"/>
    <w:rsid w:val="009C0823"/>
    <w:rsid w:val="009D1B69"/>
    <w:rsid w:val="009E12D8"/>
    <w:rsid w:val="009E366C"/>
    <w:rsid w:val="009E5087"/>
    <w:rsid w:val="009F1518"/>
    <w:rsid w:val="009F1B21"/>
    <w:rsid w:val="00A11F69"/>
    <w:rsid w:val="00A4642F"/>
    <w:rsid w:val="00A500DA"/>
    <w:rsid w:val="00A619C6"/>
    <w:rsid w:val="00A65BF9"/>
    <w:rsid w:val="00A82C94"/>
    <w:rsid w:val="00AB2E33"/>
    <w:rsid w:val="00AF0CF2"/>
    <w:rsid w:val="00AF188F"/>
    <w:rsid w:val="00AF2F6F"/>
    <w:rsid w:val="00B13548"/>
    <w:rsid w:val="00B26C73"/>
    <w:rsid w:val="00B42BC9"/>
    <w:rsid w:val="00B53158"/>
    <w:rsid w:val="00B555CB"/>
    <w:rsid w:val="00B92116"/>
    <w:rsid w:val="00BA75D1"/>
    <w:rsid w:val="00BC645A"/>
    <w:rsid w:val="00C07E5D"/>
    <w:rsid w:val="00C105AB"/>
    <w:rsid w:val="00C22DB9"/>
    <w:rsid w:val="00C53368"/>
    <w:rsid w:val="00C61C59"/>
    <w:rsid w:val="00C71E9F"/>
    <w:rsid w:val="00C8266C"/>
    <w:rsid w:val="00C96968"/>
    <w:rsid w:val="00CC6AC8"/>
    <w:rsid w:val="00CF2790"/>
    <w:rsid w:val="00D3006A"/>
    <w:rsid w:val="00D374B5"/>
    <w:rsid w:val="00D42B4E"/>
    <w:rsid w:val="00D433DD"/>
    <w:rsid w:val="00D50F41"/>
    <w:rsid w:val="00D717D9"/>
    <w:rsid w:val="00D775A7"/>
    <w:rsid w:val="00DA678B"/>
    <w:rsid w:val="00DC74B8"/>
    <w:rsid w:val="00DE28AF"/>
    <w:rsid w:val="00DF13E1"/>
    <w:rsid w:val="00DF140A"/>
    <w:rsid w:val="00DF1D8B"/>
    <w:rsid w:val="00DF3828"/>
    <w:rsid w:val="00DF7B59"/>
    <w:rsid w:val="00E136FF"/>
    <w:rsid w:val="00E67E15"/>
    <w:rsid w:val="00E94DE7"/>
    <w:rsid w:val="00ED281C"/>
    <w:rsid w:val="00ED3821"/>
    <w:rsid w:val="00F430A9"/>
    <w:rsid w:val="00F5074E"/>
    <w:rsid w:val="00F65040"/>
    <w:rsid w:val="00F72849"/>
    <w:rsid w:val="00F927F4"/>
    <w:rsid w:val="00FC03BB"/>
    <w:rsid w:val="00FC0929"/>
    <w:rsid w:val="00FC354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cp:lastPrinted>2018-12-13T13:48:00Z</cp:lastPrinted>
  <dcterms:created xsi:type="dcterms:W3CDTF">2019-06-11T07:45:00Z</dcterms:created>
  <dcterms:modified xsi:type="dcterms:W3CDTF">2019-06-11T07:45:00Z</dcterms:modified>
</cp:coreProperties>
</file>